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7D" w:rsidRPr="009067D7" w:rsidRDefault="00F42433" w:rsidP="006F0B28">
      <w:pPr>
        <w:ind w:firstLineChars="0" w:firstLine="0"/>
        <w:jc w:val="center"/>
        <w:rPr>
          <w:rFonts w:ascii="黑体" w:eastAsia="黑体" w:hAnsi="黑体"/>
          <w:sz w:val="36"/>
        </w:rPr>
      </w:pPr>
      <w:r w:rsidRPr="009067D7">
        <w:rPr>
          <w:rFonts w:ascii="黑体" w:eastAsia="黑体" w:hAnsi="黑体" w:hint="eastAsia"/>
          <w:sz w:val="36"/>
        </w:rPr>
        <w:t>宁波海上丝绸之路研究院</w:t>
      </w:r>
      <w:r w:rsidR="006F0B28" w:rsidRPr="009067D7">
        <w:rPr>
          <w:rFonts w:ascii="黑体" w:eastAsia="黑体" w:hAnsi="黑体" w:hint="eastAsia"/>
          <w:sz w:val="36"/>
        </w:rPr>
        <w:t>第</w:t>
      </w:r>
      <w:r w:rsidR="009067D7" w:rsidRPr="009067D7">
        <w:rPr>
          <w:rFonts w:ascii="黑体" w:eastAsia="黑体" w:hAnsi="黑体" w:hint="eastAsia"/>
          <w:sz w:val="36"/>
        </w:rPr>
        <w:t>六</w:t>
      </w:r>
      <w:r w:rsidR="006D2B02" w:rsidRPr="009067D7">
        <w:rPr>
          <w:rFonts w:ascii="黑体" w:eastAsia="黑体" w:hAnsi="黑体" w:hint="eastAsia"/>
          <w:sz w:val="36"/>
        </w:rPr>
        <w:t>批</w:t>
      </w:r>
      <w:r w:rsidR="00664711" w:rsidRPr="009067D7">
        <w:rPr>
          <w:rFonts w:ascii="黑体" w:eastAsia="黑体" w:hAnsi="黑体" w:hint="eastAsia"/>
          <w:sz w:val="36"/>
        </w:rPr>
        <w:t>课题</w:t>
      </w:r>
      <w:r w:rsidR="00F7787E" w:rsidRPr="009067D7">
        <w:rPr>
          <w:rFonts w:ascii="黑体" w:eastAsia="黑体" w:hAnsi="黑体" w:hint="eastAsia"/>
          <w:sz w:val="36"/>
        </w:rPr>
        <w:t>选题</w:t>
      </w:r>
      <w:r w:rsidR="00812D87" w:rsidRPr="009067D7">
        <w:rPr>
          <w:rFonts w:ascii="黑体" w:eastAsia="黑体" w:hAnsi="黑体" w:hint="eastAsia"/>
          <w:sz w:val="36"/>
        </w:rPr>
        <w:t>指南</w:t>
      </w:r>
    </w:p>
    <w:p w:rsidR="00982EA6" w:rsidRPr="0026022E" w:rsidRDefault="00982EA6" w:rsidP="006F0B28">
      <w:pPr>
        <w:ind w:firstLineChars="0" w:firstLine="0"/>
        <w:jc w:val="center"/>
        <w:rPr>
          <w:rFonts w:ascii="仿宋" w:eastAsia="仿宋" w:hAnsi="仿宋"/>
          <w:color w:val="FF0000"/>
          <w:sz w:val="36"/>
        </w:rPr>
      </w:pPr>
    </w:p>
    <w:p w:rsidR="0052775A" w:rsidRDefault="00046954" w:rsidP="00FE6485">
      <w:pPr>
        <w:spacing w:line="600" w:lineRule="exact"/>
        <w:ind w:firstLine="560"/>
        <w:rPr>
          <w:sz w:val="28"/>
          <w:szCs w:val="28"/>
        </w:rPr>
      </w:pPr>
      <w:r>
        <w:rPr>
          <w:rFonts w:hint="eastAsia"/>
          <w:sz w:val="28"/>
          <w:szCs w:val="28"/>
        </w:rPr>
        <w:t>1</w:t>
      </w:r>
      <w:r w:rsidRPr="00AA4397">
        <w:rPr>
          <w:rFonts w:hint="eastAsia"/>
          <w:sz w:val="28"/>
          <w:szCs w:val="28"/>
        </w:rPr>
        <w:t>.</w:t>
      </w:r>
      <w:r w:rsidR="00805C9B">
        <w:rPr>
          <w:rFonts w:hint="eastAsia"/>
          <w:sz w:val="28"/>
          <w:szCs w:val="28"/>
        </w:rPr>
        <w:t>国际贸易“单一窗口”建设的评价研究</w:t>
      </w:r>
    </w:p>
    <w:p w:rsidR="00805C9B" w:rsidRDefault="00805C9B" w:rsidP="00FE6485">
      <w:pPr>
        <w:spacing w:line="600" w:lineRule="exact"/>
        <w:ind w:firstLine="560"/>
        <w:rPr>
          <w:sz w:val="28"/>
          <w:szCs w:val="28"/>
        </w:rPr>
      </w:pPr>
      <w:r>
        <w:rPr>
          <w:rFonts w:hint="eastAsia"/>
          <w:sz w:val="28"/>
          <w:szCs w:val="28"/>
        </w:rPr>
        <w:t>要点：分析国内各城市国际贸易“单一窗口”建设的情况，构建国际贸易“单一窗口”建设的指标体系，使用该指标体系对国内各城市国际贸易“单一窗口”建设进行评价，提出优化“单一窗口”建设的对策建议等。</w:t>
      </w:r>
    </w:p>
    <w:p w:rsidR="00046954" w:rsidRPr="00AA4397" w:rsidRDefault="00805C9B" w:rsidP="00FE6485">
      <w:pPr>
        <w:spacing w:line="600" w:lineRule="exact"/>
        <w:ind w:firstLine="560"/>
        <w:rPr>
          <w:sz w:val="28"/>
          <w:szCs w:val="28"/>
        </w:rPr>
      </w:pPr>
      <w:r>
        <w:rPr>
          <w:rFonts w:hint="eastAsia"/>
          <w:sz w:val="28"/>
          <w:szCs w:val="28"/>
        </w:rPr>
        <w:t>2.</w:t>
      </w:r>
      <w:r w:rsidR="00046954" w:rsidRPr="00AA4397">
        <w:rPr>
          <w:rFonts w:hint="eastAsia"/>
          <w:sz w:val="28"/>
          <w:szCs w:val="28"/>
        </w:rPr>
        <w:t>宁波与日本、德国、瑞士等国家高端制造产业对接研究</w:t>
      </w:r>
    </w:p>
    <w:p w:rsidR="00046954" w:rsidRPr="00AA4397" w:rsidRDefault="00046954" w:rsidP="00FE6485">
      <w:pPr>
        <w:spacing w:line="600" w:lineRule="exact"/>
        <w:ind w:firstLine="560"/>
        <w:rPr>
          <w:sz w:val="28"/>
          <w:szCs w:val="28"/>
        </w:rPr>
      </w:pPr>
      <w:r w:rsidRPr="00AA4397">
        <w:rPr>
          <w:rFonts w:hint="eastAsia"/>
          <w:sz w:val="28"/>
          <w:szCs w:val="28"/>
        </w:rPr>
        <w:t>要点：分析宁波与日本、德国、瑞士等国家高端制造业对接现状，研究宁波与日本、德国、瑞士等国家高端制造业对接的产业优势，剖析宁波与日本、德国、瑞士等国家高端制造业对接存在的障碍，提出宁波与日本、德国、瑞士等国家高端制造业对接的建议等。</w:t>
      </w:r>
    </w:p>
    <w:p w:rsidR="00046954" w:rsidRPr="00AA4397" w:rsidRDefault="00805C9B" w:rsidP="00FE6485">
      <w:pPr>
        <w:spacing w:line="600" w:lineRule="exact"/>
        <w:ind w:firstLine="560"/>
        <w:rPr>
          <w:sz w:val="28"/>
          <w:szCs w:val="28"/>
        </w:rPr>
      </w:pPr>
      <w:r>
        <w:rPr>
          <w:rFonts w:hint="eastAsia"/>
          <w:sz w:val="28"/>
          <w:szCs w:val="28"/>
        </w:rPr>
        <w:t>3</w:t>
      </w:r>
      <w:r w:rsidR="00046954" w:rsidRPr="00AA4397">
        <w:rPr>
          <w:rFonts w:hint="eastAsia"/>
          <w:sz w:val="28"/>
          <w:szCs w:val="28"/>
        </w:rPr>
        <w:t>.“一带一路”沿线国家东盟10国比较优势及宁波对其开展经贸合作对策</w:t>
      </w:r>
    </w:p>
    <w:p w:rsidR="00046954" w:rsidRPr="00AA4397" w:rsidRDefault="00046954" w:rsidP="00FE6485">
      <w:pPr>
        <w:spacing w:line="600" w:lineRule="exact"/>
        <w:ind w:firstLine="560"/>
        <w:rPr>
          <w:sz w:val="28"/>
          <w:szCs w:val="28"/>
        </w:rPr>
      </w:pPr>
      <w:r w:rsidRPr="00AA4397">
        <w:rPr>
          <w:rFonts w:hint="eastAsia"/>
          <w:sz w:val="28"/>
          <w:szCs w:val="28"/>
        </w:rPr>
        <w:t>要点：分析东盟主要国家的情况，剖析宁波与东盟10国经贸合作现状及存在的问题，研究宁波与东盟10国经贸合作的优势和重点领域，提出宁波与东盟10国经贸合作的对策建议等。</w:t>
      </w:r>
    </w:p>
    <w:p w:rsidR="00046954" w:rsidRPr="00AA4397" w:rsidRDefault="00805C9B" w:rsidP="00FE6485">
      <w:pPr>
        <w:spacing w:line="600" w:lineRule="exact"/>
        <w:ind w:firstLine="560"/>
        <w:rPr>
          <w:sz w:val="28"/>
          <w:szCs w:val="28"/>
        </w:rPr>
      </w:pPr>
      <w:r>
        <w:rPr>
          <w:rFonts w:hint="eastAsia"/>
          <w:sz w:val="28"/>
          <w:szCs w:val="28"/>
        </w:rPr>
        <w:t>4</w:t>
      </w:r>
      <w:r w:rsidR="00046954" w:rsidRPr="00AA4397">
        <w:rPr>
          <w:rFonts w:hint="eastAsia"/>
          <w:sz w:val="28"/>
          <w:szCs w:val="28"/>
        </w:rPr>
        <w:t>.“一带一路”背景下我国沿海港口格局优化研究——以宁波舟山港转型升级为例</w:t>
      </w:r>
    </w:p>
    <w:p w:rsidR="00046954" w:rsidRPr="00AA4397" w:rsidRDefault="00046954" w:rsidP="00FE6485">
      <w:pPr>
        <w:spacing w:line="600" w:lineRule="exact"/>
        <w:ind w:firstLine="560"/>
        <w:rPr>
          <w:sz w:val="28"/>
          <w:szCs w:val="28"/>
        </w:rPr>
      </w:pPr>
      <w:r w:rsidRPr="00AA4397">
        <w:rPr>
          <w:rFonts w:hint="eastAsia"/>
          <w:sz w:val="28"/>
          <w:szCs w:val="28"/>
        </w:rPr>
        <w:t>要点：分析我国沿海港口格局现状及问题，研究我国重点港口功能的影响因素与调节路径，剖析我</w:t>
      </w:r>
      <w:r>
        <w:rPr>
          <w:rFonts w:hint="eastAsia"/>
          <w:sz w:val="28"/>
          <w:szCs w:val="28"/>
        </w:rPr>
        <w:t>国</w:t>
      </w:r>
      <w:r w:rsidRPr="00AA4397">
        <w:rPr>
          <w:rFonts w:hint="eastAsia"/>
          <w:sz w:val="28"/>
          <w:szCs w:val="28"/>
        </w:rPr>
        <w:t>沿海港口协同发展的机制，建立我国沿海港口交互耦合协调度评价体系，提出我国沿海港口格局优化的对策建议等。</w:t>
      </w:r>
    </w:p>
    <w:p w:rsidR="00046954" w:rsidRPr="00AA4397" w:rsidRDefault="00805C9B" w:rsidP="00FE6485">
      <w:pPr>
        <w:spacing w:line="600" w:lineRule="exact"/>
        <w:ind w:firstLine="560"/>
        <w:rPr>
          <w:sz w:val="28"/>
          <w:szCs w:val="28"/>
        </w:rPr>
      </w:pPr>
      <w:r>
        <w:rPr>
          <w:rFonts w:hint="eastAsia"/>
          <w:sz w:val="28"/>
          <w:szCs w:val="28"/>
        </w:rPr>
        <w:lastRenderedPageBreak/>
        <w:t>5</w:t>
      </w:r>
      <w:r w:rsidR="00046954" w:rsidRPr="00AA4397">
        <w:rPr>
          <w:rFonts w:hint="eastAsia"/>
          <w:sz w:val="28"/>
          <w:szCs w:val="28"/>
        </w:rPr>
        <w:t>.“一带一路”沿线国家南亚8国比较优势及宁波对其开展经贸合作对策</w:t>
      </w:r>
    </w:p>
    <w:p w:rsidR="00046954" w:rsidRPr="00AA4397" w:rsidRDefault="00046954" w:rsidP="00FE6485">
      <w:pPr>
        <w:spacing w:line="600" w:lineRule="exact"/>
        <w:ind w:firstLine="560"/>
        <w:rPr>
          <w:sz w:val="28"/>
          <w:szCs w:val="28"/>
        </w:rPr>
      </w:pPr>
      <w:r w:rsidRPr="00AA4397">
        <w:rPr>
          <w:rFonts w:hint="eastAsia"/>
          <w:sz w:val="28"/>
          <w:szCs w:val="28"/>
        </w:rPr>
        <w:t>要点：分析宁波与南亚各国经贸合作现状，剖析宁波与南亚各国经贸合作存在的问题，研究宁波与南亚各国经贸合作的优势和重点领域，提出宁波与南亚各国经贸合作的对策建议等。</w:t>
      </w:r>
    </w:p>
    <w:p w:rsidR="00046954" w:rsidRPr="00AA4397" w:rsidRDefault="00805C9B" w:rsidP="00FE6485">
      <w:pPr>
        <w:spacing w:line="600" w:lineRule="exact"/>
        <w:ind w:firstLine="560"/>
        <w:rPr>
          <w:sz w:val="28"/>
          <w:szCs w:val="28"/>
        </w:rPr>
      </w:pPr>
      <w:r>
        <w:rPr>
          <w:rFonts w:hint="eastAsia"/>
          <w:sz w:val="28"/>
          <w:szCs w:val="28"/>
        </w:rPr>
        <w:t>6</w:t>
      </w:r>
      <w:r w:rsidR="00046954" w:rsidRPr="00AA4397">
        <w:rPr>
          <w:rFonts w:hint="eastAsia"/>
          <w:sz w:val="28"/>
          <w:szCs w:val="28"/>
        </w:rPr>
        <w:t>.宁波与中东欧国家贸易潜力研究</w:t>
      </w:r>
    </w:p>
    <w:p w:rsidR="00046954" w:rsidRPr="00AA4397" w:rsidRDefault="00046954" w:rsidP="00FE6485">
      <w:pPr>
        <w:spacing w:line="600" w:lineRule="exact"/>
        <w:ind w:firstLine="560"/>
        <w:rPr>
          <w:sz w:val="28"/>
          <w:szCs w:val="28"/>
        </w:rPr>
      </w:pPr>
      <w:r w:rsidRPr="00AA4397">
        <w:rPr>
          <w:rFonts w:hint="eastAsia"/>
          <w:sz w:val="28"/>
          <w:szCs w:val="28"/>
        </w:rPr>
        <w:t>要点：总结宁波与中东欧国家贸易现状，分析宁波与中东欧国家进行贸易的比较优势，使用引力模型分析宁波与中东欧国家贸易的影响因素及潜力，提出挖掘宁波与中东欧国家贸易潜力的对策建议等。</w:t>
      </w:r>
    </w:p>
    <w:p w:rsidR="00046954" w:rsidRPr="00AA4397" w:rsidRDefault="00805C9B" w:rsidP="00FE6485">
      <w:pPr>
        <w:spacing w:line="600" w:lineRule="exact"/>
        <w:ind w:firstLine="560"/>
        <w:rPr>
          <w:sz w:val="28"/>
          <w:szCs w:val="28"/>
        </w:rPr>
      </w:pPr>
      <w:r>
        <w:rPr>
          <w:rFonts w:hint="eastAsia"/>
          <w:sz w:val="28"/>
          <w:szCs w:val="28"/>
        </w:rPr>
        <w:t>7</w:t>
      </w:r>
      <w:r w:rsidR="00046954" w:rsidRPr="00AA4397">
        <w:rPr>
          <w:rFonts w:hint="eastAsia"/>
          <w:sz w:val="28"/>
          <w:szCs w:val="28"/>
        </w:rPr>
        <w:t>.“16+1”框架对宁波和中东欧国家贸易投资的影响研究</w:t>
      </w:r>
    </w:p>
    <w:p w:rsidR="00046954" w:rsidRDefault="00046954" w:rsidP="00FE6485">
      <w:pPr>
        <w:spacing w:line="600" w:lineRule="exact"/>
        <w:ind w:firstLine="560"/>
        <w:rPr>
          <w:sz w:val="28"/>
          <w:szCs w:val="28"/>
        </w:rPr>
      </w:pPr>
      <w:r w:rsidRPr="00AA4397">
        <w:rPr>
          <w:rFonts w:hint="eastAsia"/>
          <w:sz w:val="28"/>
          <w:szCs w:val="28"/>
        </w:rPr>
        <w:t>要点：分析宁波和中东欧国家贸易投资现状，剖析“16+1”框架的主要特点，研究“16+1”框架对宁波和中东欧国家贸易投资的影响，提出宁波的对策建议等。</w:t>
      </w:r>
    </w:p>
    <w:p w:rsidR="00046954" w:rsidRDefault="00805C9B" w:rsidP="00FE6485">
      <w:pPr>
        <w:spacing w:line="600" w:lineRule="exact"/>
        <w:ind w:firstLine="560"/>
        <w:rPr>
          <w:sz w:val="28"/>
          <w:szCs w:val="28"/>
        </w:rPr>
      </w:pPr>
      <w:r>
        <w:rPr>
          <w:rFonts w:hint="eastAsia"/>
          <w:sz w:val="28"/>
          <w:szCs w:val="28"/>
        </w:rPr>
        <w:t>8</w:t>
      </w:r>
      <w:r w:rsidR="00046954">
        <w:rPr>
          <w:rFonts w:hint="eastAsia"/>
          <w:sz w:val="28"/>
          <w:szCs w:val="28"/>
        </w:rPr>
        <w:t>.“一带一路”背景下基于高质量发展要求的宁波舟山港打造国际强港路径与对策研究</w:t>
      </w:r>
    </w:p>
    <w:p w:rsidR="00046954" w:rsidRDefault="00046954" w:rsidP="00FE6485">
      <w:pPr>
        <w:spacing w:line="600" w:lineRule="exact"/>
        <w:ind w:firstLine="560"/>
        <w:rPr>
          <w:sz w:val="28"/>
          <w:szCs w:val="28"/>
        </w:rPr>
      </w:pPr>
      <w:r>
        <w:rPr>
          <w:rFonts w:hint="eastAsia"/>
          <w:sz w:val="28"/>
          <w:szCs w:val="28"/>
        </w:rPr>
        <w:t>要点：</w:t>
      </w:r>
      <w:r w:rsidR="004B55DF">
        <w:rPr>
          <w:rFonts w:hint="eastAsia"/>
          <w:sz w:val="28"/>
          <w:szCs w:val="28"/>
        </w:rPr>
        <w:t>探究宁波舟山港的发展现状及打造国际强港的现实基础，梳理典型国际强港的发展现状与经验，比较宁波舟山港与典型国际强港的现实差距，提出宁波舟山港打造国际强港的路径与对策等。</w:t>
      </w:r>
    </w:p>
    <w:p w:rsidR="004B55DF" w:rsidRDefault="00805C9B" w:rsidP="00FE6485">
      <w:pPr>
        <w:spacing w:line="600" w:lineRule="exact"/>
        <w:ind w:firstLine="560"/>
        <w:rPr>
          <w:sz w:val="28"/>
          <w:szCs w:val="28"/>
        </w:rPr>
      </w:pPr>
      <w:r>
        <w:rPr>
          <w:rFonts w:hint="eastAsia"/>
          <w:sz w:val="28"/>
          <w:szCs w:val="28"/>
        </w:rPr>
        <w:t>9</w:t>
      </w:r>
      <w:r w:rsidR="004B55DF">
        <w:rPr>
          <w:rFonts w:hint="eastAsia"/>
          <w:sz w:val="28"/>
          <w:szCs w:val="28"/>
        </w:rPr>
        <w:t>.“一带一路”背景下宁波全域旅游发展措施</w:t>
      </w:r>
    </w:p>
    <w:p w:rsidR="004B55DF" w:rsidRDefault="00D62B87" w:rsidP="00FE6485">
      <w:pPr>
        <w:spacing w:line="600" w:lineRule="exact"/>
        <w:ind w:firstLine="560"/>
        <w:rPr>
          <w:sz w:val="28"/>
          <w:szCs w:val="28"/>
        </w:rPr>
      </w:pPr>
      <w:r>
        <w:rPr>
          <w:rFonts w:hint="eastAsia"/>
          <w:sz w:val="28"/>
          <w:szCs w:val="28"/>
        </w:rPr>
        <w:t>要点：分析宁波全域旅游的发展现状，审视宁波旅游的优势及不足，解析“一带一路”沿线主要国家全域旅游发展，提出宁波全域旅游发展的对策建议等。</w:t>
      </w:r>
    </w:p>
    <w:p w:rsidR="00D62B87" w:rsidRDefault="00805C9B" w:rsidP="00FE6485">
      <w:pPr>
        <w:spacing w:line="600" w:lineRule="exact"/>
        <w:ind w:firstLine="560"/>
        <w:rPr>
          <w:sz w:val="28"/>
          <w:szCs w:val="28"/>
        </w:rPr>
      </w:pPr>
      <w:r>
        <w:rPr>
          <w:rFonts w:hint="eastAsia"/>
          <w:sz w:val="28"/>
          <w:szCs w:val="28"/>
        </w:rPr>
        <w:t>10</w:t>
      </w:r>
      <w:r w:rsidR="00D62B87">
        <w:rPr>
          <w:rFonts w:hint="eastAsia"/>
          <w:sz w:val="28"/>
          <w:szCs w:val="28"/>
        </w:rPr>
        <w:t>.国外媒体报道“一带一路”的观点研究</w:t>
      </w:r>
    </w:p>
    <w:p w:rsidR="00D62B87" w:rsidRDefault="00D62B87" w:rsidP="00FE6485">
      <w:pPr>
        <w:spacing w:line="600" w:lineRule="exact"/>
        <w:ind w:firstLine="560"/>
        <w:rPr>
          <w:sz w:val="28"/>
          <w:szCs w:val="28"/>
        </w:rPr>
      </w:pPr>
      <w:r>
        <w:rPr>
          <w:rFonts w:hint="eastAsia"/>
          <w:sz w:val="28"/>
          <w:szCs w:val="28"/>
        </w:rPr>
        <w:lastRenderedPageBreak/>
        <w:t>要点：研究国外媒体报道“一带一路”的现状</w:t>
      </w:r>
      <w:r w:rsidR="00B26D59">
        <w:rPr>
          <w:rFonts w:hint="eastAsia"/>
          <w:sz w:val="28"/>
          <w:szCs w:val="28"/>
        </w:rPr>
        <w:t>,</w:t>
      </w:r>
      <w:r>
        <w:rPr>
          <w:rFonts w:hint="eastAsia"/>
          <w:sz w:val="28"/>
          <w:szCs w:val="28"/>
        </w:rPr>
        <w:t>剖析国外媒体报道“一带一路”的观点，提出如何处理国外媒体报道“一带一路”的对策等。</w:t>
      </w:r>
    </w:p>
    <w:p w:rsidR="00D62B87" w:rsidRDefault="00805C9B" w:rsidP="00FE6485">
      <w:pPr>
        <w:spacing w:line="600" w:lineRule="exact"/>
        <w:ind w:firstLine="560"/>
        <w:rPr>
          <w:sz w:val="28"/>
          <w:szCs w:val="28"/>
        </w:rPr>
      </w:pPr>
      <w:r>
        <w:rPr>
          <w:rFonts w:hint="eastAsia"/>
          <w:sz w:val="28"/>
          <w:szCs w:val="28"/>
        </w:rPr>
        <w:t>11</w:t>
      </w:r>
      <w:r w:rsidR="00D62B87">
        <w:rPr>
          <w:rFonts w:hint="eastAsia"/>
          <w:sz w:val="28"/>
          <w:szCs w:val="28"/>
        </w:rPr>
        <w:t>.基于“一带一路”的宁波海洋城市形象建设研究</w:t>
      </w:r>
    </w:p>
    <w:p w:rsidR="00D62B87" w:rsidRDefault="00D62B87" w:rsidP="00FE6485">
      <w:pPr>
        <w:spacing w:line="600" w:lineRule="exact"/>
        <w:ind w:firstLine="560"/>
        <w:rPr>
          <w:sz w:val="28"/>
          <w:szCs w:val="28"/>
        </w:rPr>
      </w:pPr>
      <w:r>
        <w:rPr>
          <w:rFonts w:hint="eastAsia"/>
          <w:sz w:val="28"/>
          <w:szCs w:val="28"/>
        </w:rPr>
        <w:t>要点：分析宁波城市形象中海洋文化特色的现状，研究宁波城市建设中海洋文化元素的条件，提出宁波城市</w:t>
      </w:r>
      <w:r w:rsidR="00B26D59">
        <w:rPr>
          <w:rFonts w:hint="eastAsia"/>
          <w:sz w:val="28"/>
          <w:szCs w:val="28"/>
        </w:rPr>
        <w:t>形象</w:t>
      </w:r>
      <w:r>
        <w:rPr>
          <w:rFonts w:hint="eastAsia"/>
          <w:sz w:val="28"/>
          <w:szCs w:val="28"/>
        </w:rPr>
        <w:t>规划和发展的措施及建议等。</w:t>
      </w:r>
    </w:p>
    <w:p w:rsidR="00D62B87" w:rsidRDefault="00D62B87" w:rsidP="00FE6485">
      <w:pPr>
        <w:spacing w:line="600" w:lineRule="exact"/>
        <w:ind w:firstLine="560"/>
        <w:rPr>
          <w:sz w:val="28"/>
          <w:szCs w:val="28"/>
        </w:rPr>
      </w:pPr>
      <w:r>
        <w:rPr>
          <w:rFonts w:hint="eastAsia"/>
          <w:sz w:val="28"/>
          <w:szCs w:val="28"/>
        </w:rPr>
        <w:t>1</w:t>
      </w:r>
      <w:r w:rsidR="00805C9B">
        <w:rPr>
          <w:rFonts w:hint="eastAsia"/>
          <w:sz w:val="28"/>
          <w:szCs w:val="28"/>
        </w:rPr>
        <w:t>2</w:t>
      </w:r>
      <w:r>
        <w:rPr>
          <w:rFonts w:hint="eastAsia"/>
          <w:sz w:val="28"/>
          <w:szCs w:val="28"/>
        </w:rPr>
        <w:t>.宁波面向“海上丝绸之路”沿岸国家的</w:t>
      </w:r>
      <w:r w:rsidR="00BE3F52">
        <w:rPr>
          <w:rFonts w:hint="eastAsia"/>
          <w:sz w:val="28"/>
          <w:szCs w:val="28"/>
        </w:rPr>
        <w:t>跨境电商</w:t>
      </w:r>
      <w:r w:rsidR="009063EA">
        <w:rPr>
          <w:rFonts w:hint="eastAsia"/>
          <w:sz w:val="28"/>
          <w:szCs w:val="28"/>
        </w:rPr>
        <w:t>政府服务</w:t>
      </w:r>
      <w:r>
        <w:rPr>
          <w:rFonts w:hint="eastAsia"/>
          <w:sz w:val="28"/>
          <w:szCs w:val="28"/>
        </w:rPr>
        <w:t>平台建设研究</w:t>
      </w:r>
    </w:p>
    <w:p w:rsidR="00D62B87" w:rsidRDefault="00D62B87" w:rsidP="00FE6485">
      <w:pPr>
        <w:spacing w:line="600" w:lineRule="exact"/>
        <w:ind w:firstLine="560"/>
        <w:rPr>
          <w:sz w:val="28"/>
          <w:szCs w:val="28"/>
        </w:rPr>
      </w:pPr>
      <w:r>
        <w:rPr>
          <w:rFonts w:hint="eastAsia"/>
          <w:sz w:val="28"/>
          <w:szCs w:val="28"/>
        </w:rPr>
        <w:t>要点：分析宁波搭建</w:t>
      </w:r>
      <w:r w:rsidR="00BE3F52">
        <w:rPr>
          <w:rFonts w:hint="eastAsia"/>
          <w:sz w:val="28"/>
          <w:szCs w:val="28"/>
        </w:rPr>
        <w:t>跨境电商政府服务</w:t>
      </w:r>
      <w:r w:rsidR="009063EA">
        <w:rPr>
          <w:rFonts w:hint="eastAsia"/>
          <w:sz w:val="28"/>
          <w:szCs w:val="28"/>
        </w:rPr>
        <w:t>政府服务</w:t>
      </w:r>
      <w:r>
        <w:rPr>
          <w:rFonts w:hint="eastAsia"/>
          <w:sz w:val="28"/>
          <w:szCs w:val="28"/>
        </w:rPr>
        <w:t>平台的条件，研究宁波</w:t>
      </w:r>
      <w:r w:rsidR="00BE3F52">
        <w:rPr>
          <w:rFonts w:hint="eastAsia"/>
          <w:sz w:val="28"/>
          <w:szCs w:val="28"/>
        </w:rPr>
        <w:t>跨境电商政府服务</w:t>
      </w:r>
      <w:r w:rsidR="009063EA">
        <w:rPr>
          <w:rFonts w:hint="eastAsia"/>
          <w:sz w:val="28"/>
          <w:szCs w:val="28"/>
        </w:rPr>
        <w:t>政府服务</w:t>
      </w:r>
      <w:r>
        <w:rPr>
          <w:rFonts w:hint="eastAsia"/>
          <w:sz w:val="28"/>
          <w:szCs w:val="28"/>
        </w:rPr>
        <w:t>平台构建方案，剖析</w:t>
      </w:r>
      <w:r w:rsidR="00BE3F52">
        <w:rPr>
          <w:rFonts w:hint="eastAsia"/>
          <w:sz w:val="28"/>
          <w:szCs w:val="28"/>
        </w:rPr>
        <w:t>跨境电商政府服务</w:t>
      </w:r>
      <w:r w:rsidR="009063EA">
        <w:rPr>
          <w:rFonts w:hint="eastAsia"/>
          <w:sz w:val="28"/>
          <w:szCs w:val="28"/>
        </w:rPr>
        <w:t>政府服务</w:t>
      </w:r>
      <w:r>
        <w:rPr>
          <w:rFonts w:hint="eastAsia"/>
          <w:sz w:val="28"/>
          <w:szCs w:val="28"/>
        </w:rPr>
        <w:t>平台的预期效应，提出</w:t>
      </w:r>
      <w:r w:rsidR="00D243D1">
        <w:rPr>
          <w:rFonts w:hint="eastAsia"/>
          <w:sz w:val="28"/>
          <w:szCs w:val="28"/>
        </w:rPr>
        <w:t>宁波</w:t>
      </w:r>
      <w:r w:rsidR="00BE3F52">
        <w:rPr>
          <w:rFonts w:hint="eastAsia"/>
          <w:sz w:val="28"/>
          <w:szCs w:val="28"/>
        </w:rPr>
        <w:t>跨境电商政府服务</w:t>
      </w:r>
      <w:r w:rsidR="009063EA">
        <w:rPr>
          <w:rFonts w:hint="eastAsia"/>
          <w:sz w:val="28"/>
          <w:szCs w:val="28"/>
        </w:rPr>
        <w:t>政府服务</w:t>
      </w:r>
      <w:r>
        <w:rPr>
          <w:rFonts w:hint="eastAsia"/>
          <w:sz w:val="28"/>
          <w:szCs w:val="28"/>
        </w:rPr>
        <w:t>平台运行的保障措施等。</w:t>
      </w:r>
    </w:p>
    <w:p w:rsidR="00D62B87" w:rsidRDefault="00D62B87" w:rsidP="00FE6485">
      <w:pPr>
        <w:spacing w:line="600" w:lineRule="exact"/>
        <w:ind w:firstLine="560"/>
        <w:rPr>
          <w:sz w:val="28"/>
          <w:szCs w:val="28"/>
        </w:rPr>
      </w:pPr>
      <w:r>
        <w:rPr>
          <w:rFonts w:hint="eastAsia"/>
          <w:sz w:val="28"/>
          <w:szCs w:val="28"/>
        </w:rPr>
        <w:t>1</w:t>
      </w:r>
      <w:r w:rsidR="00805C9B">
        <w:rPr>
          <w:rFonts w:hint="eastAsia"/>
          <w:sz w:val="28"/>
          <w:szCs w:val="28"/>
        </w:rPr>
        <w:t>3</w:t>
      </w:r>
      <w:r>
        <w:rPr>
          <w:rFonts w:hint="eastAsia"/>
          <w:sz w:val="28"/>
          <w:szCs w:val="28"/>
        </w:rPr>
        <w:t>.</w:t>
      </w:r>
      <w:r w:rsidR="00017599">
        <w:rPr>
          <w:rFonts w:hint="eastAsia"/>
          <w:sz w:val="28"/>
          <w:szCs w:val="28"/>
        </w:rPr>
        <w:t>“一带一路”背景下越窑青瓷的可持续发展研究</w:t>
      </w:r>
    </w:p>
    <w:p w:rsidR="00017599" w:rsidRDefault="00017599" w:rsidP="00FE6485">
      <w:pPr>
        <w:spacing w:line="600" w:lineRule="exact"/>
        <w:ind w:firstLine="560"/>
        <w:rPr>
          <w:sz w:val="28"/>
          <w:szCs w:val="28"/>
        </w:rPr>
      </w:pPr>
      <w:r>
        <w:rPr>
          <w:rFonts w:hint="eastAsia"/>
          <w:sz w:val="28"/>
          <w:szCs w:val="28"/>
        </w:rPr>
        <w:t>要点：分析越窑青瓷文化现状及当代价值，与其他同类资源进行比较，提出“一带一路”背景下越窑青瓷可持续发展路径</w:t>
      </w:r>
      <w:r w:rsidR="00DA61F8">
        <w:rPr>
          <w:rFonts w:hint="eastAsia"/>
          <w:sz w:val="28"/>
          <w:szCs w:val="28"/>
        </w:rPr>
        <w:t>和对策建议</w:t>
      </w:r>
      <w:r>
        <w:rPr>
          <w:rFonts w:hint="eastAsia"/>
          <w:sz w:val="28"/>
          <w:szCs w:val="28"/>
        </w:rPr>
        <w:t>等。</w:t>
      </w:r>
    </w:p>
    <w:p w:rsidR="00017599" w:rsidRDefault="00017599" w:rsidP="00FE6485">
      <w:pPr>
        <w:spacing w:line="600" w:lineRule="exact"/>
        <w:ind w:firstLine="560"/>
        <w:rPr>
          <w:sz w:val="28"/>
          <w:szCs w:val="28"/>
        </w:rPr>
      </w:pPr>
      <w:r>
        <w:rPr>
          <w:rFonts w:hint="eastAsia"/>
          <w:sz w:val="28"/>
          <w:szCs w:val="28"/>
        </w:rPr>
        <w:t>1</w:t>
      </w:r>
      <w:r w:rsidR="00805C9B">
        <w:rPr>
          <w:rFonts w:hint="eastAsia"/>
          <w:sz w:val="28"/>
          <w:szCs w:val="28"/>
        </w:rPr>
        <w:t>4</w:t>
      </w:r>
      <w:r>
        <w:rPr>
          <w:rFonts w:hint="eastAsia"/>
          <w:sz w:val="28"/>
          <w:szCs w:val="28"/>
        </w:rPr>
        <w:t>.“一带一路”背景下宁波</w:t>
      </w:r>
      <w:r w:rsidR="00CB65FF">
        <w:rPr>
          <w:rFonts w:hint="eastAsia"/>
          <w:sz w:val="28"/>
          <w:szCs w:val="28"/>
        </w:rPr>
        <w:t>越窑青瓷文化</w:t>
      </w:r>
      <w:r>
        <w:rPr>
          <w:rFonts w:hint="eastAsia"/>
          <w:sz w:val="28"/>
          <w:szCs w:val="28"/>
        </w:rPr>
        <w:t>转型研究</w:t>
      </w:r>
      <w:r w:rsidR="002D7ED0">
        <w:rPr>
          <w:rFonts w:hint="eastAsia"/>
          <w:sz w:val="28"/>
          <w:szCs w:val="28"/>
        </w:rPr>
        <w:t>——以越窑青瓷为例</w:t>
      </w:r>
    </w:p>
    <w:p w:rsidR="00017599" w:rsidRDefault="00017599" w:rsidP="00FE6485">
      <w:pPr>
        <w:spacing w:line="600" w:lineRule="exact"/>
        <w:ind w:firstLine="560"/>
        <w:rPr>
          <w:sz w:val="28"/>
          <w:szCs w:val="28"/>
        </w:rPr>
      </w:pPr>
      <w:r>
        <w:rPr>
          <w:rFonts w:hint="eastAsia"/>
          <w:sz w:val="28"/>
          <w:szCs w:val="28"/>
        </w:rPr>
        <w:t>要点：分析越窑青瓷及产区的发展现状，研究传统越窑青瓷的工艺技术对世界陶瓷史的</w:t>
      </w:r>
      <w:r w:rsidR="00461863">
        <w:rPr>
          <w:rFonts w:hint="eastAsia"/>
          <w:sz w:val="28"/>
          <w:szCs w:val="28"/>
        </w:rPr>
        <w:t>贡献</w:t>
      </w:r>
      <w:r>
        <w:rPr>
          <w:rFonts w:hint="eastAsia"/>
          <w:sz w:val="28"/>
          <w:szCs w:val="28"/>
        </w:rPr>
        <w:t>，剖析越窑青瓷</w:t>
      </w:r>
      <w:r w:rsidR="00461863">
        <w:rPr>
          <w:rFonts w:hint="eastAsia"/>
          <w:sz w:val="28"/>
          <w:szCs w:val="28"/>
        </w:rPr>
        <w:t>文化</w:t>
      </w:r>
      <w:r>
        <w:rPr>
          <w:rFonts w:hint="eastAsia"/>
          <w:sz w:val="28"/>
          <w:szCs w:val="28"/>
        </w:rPr>
        <w:t>与其它地域文化的关系，</w:t>
      </w:r>
      <w:r w:rsidR="00DD7AB1">
        <w:rPr>
          <w:rFonts w:hint="eastAsia"/>
          <w:sz w:val="28"/>
          <w:szCs w:val="28"/>
        </w:rPr>
        <w:t>分析宁波手工艺文化转型的前提，</w:t>
      </w:r>
      <w:r>
        <w:rPr>
          <w:rFonts w:hint="eastAsia"/>
          <w:sz w:val="28"/>
          <w:szCs w:val="28"/>
        </w:rPr>
        <w:t>提出推动宁波青瓷文化产业的发展对策等。</w:t>
      </w:r>
    </w:p>
    <w:p w:rsidR="00017599" w:rsidRDefault="00017599" w:rsidP="00FE6485">
      <w:pPr>
        <w:spacing w:line="600" w:lineRule="exact"/>
        <w:ind w:firstLine="560"/>
        <w:rPr>
          <w:sz w:val="28"/>
          <w:szCs w:val="28"/>
        </w:rPr>
      </w:pPr>
      <w:r>
        <w:rPr>
          <w:rFonts w:hint="eastAsia"/>
          <w:sz w:val="28"/>
          <w:szCs w:val="28"/>
        </w:rPr>
        <w:lastRenderedPageBreak/>
        <w:t>1</w:t>
      </w:r>
      <w:r w:rsidR="00805C9B">
        <w:rPr>
          <w:rFonts w:hint="eastAsia"/>
          <w:sz w:val="28"/>
          <w:szCs w:val="28"/>
        </w:rPr>
        <w:t>5</w:t>
      </w:r>
      <w:r>
        <w:rPr>
          <w:rFonts w:hint="eastAsia"/>
          <w:sz w:val="28"/>
          <w:szCs w:val="28"/>
        </w:rPr>
        <w:t>.</w:t>
      </w:r>
      <w:r w:rsidR="00757296">
        <w:rPr>
          <w:rFonts w:hint="eastAsia"/>
          <w:sz w:val="28"/>
          <w:szCs w:val="28"/>
        </w:rPr>
        <w:t>“一带一路”与宁波道教文化传播研究</w:t>
      </w:r>
    </w:p>
    <w:p w:rsidR="00757296" w:rsidRDefault="00757296" w:rsidP="00FE6485">
      <w:pPr>
        <w:spacing w:line="600" w:lineRule="exact"/>
        <w:ind w:firstLine="560"/>
        <w:rPr>
          <w:sz w:val="28"/>
          <w:szCs w:val="28"/>
        </w:rPr>
      </w:pPr>
      <w:r>
        <w:rPr>
          <w:rFonts w:hint="eastAsia"/>
          <w:sz w:val="28"/>
          <w:szCs w:val="28"/>
        </w:rPr>
        <w:t>要点：分析宁波道教文化在各个不同历史时期的国内外传播等。</w:t>
      </w:r>
    </w:p>
    <w:p w:rsidR="00757296" w:rsidRDefault="00757296" w:rsidP="00FE6485">
      <w:pPr>
        <w:spacing w:line="600" w:lineRule="exact"/>
        <w:ind w:firstLine="560"/>
        <w:rPr>
          <w:sz w:val="28"/>
          <w:szCs w:val="28"/>
        </w:rPr>
      </w:pPr>
      <w:r>
        <w:rPr>
          <w:rFonts w:hint="eastAsia"/>
          <w:sz w:val="28"/>
          <w:szCs w:val="28"/>
        </w:rPr>
        <w:t>1</w:t>
      </w:r>
      <w:r w:rsidR="00805C9B">
        <w:rPr>
          <w:rFonts w:hint="eastAsia"/>
          <w:sz w:val="28"/>
          <w:szCs w:val="28"/>
        </w:rPr>
        <w:t>6</w:t>
      </w:r>
      <w:r>
        <w:rPr>
          <w:rFonts w:hint="eastAsia"/>
          <w:sz w:val="28"/>
          <w:szCs w:val="28"/>
        </w:rPr>
        <w:t>.中巴经济走廊框架下宁波的发展定位</w:t>
      </w:r>
      <w:r w:rsidR="00E27260">
        <w:rPr>
          <w:rFonts w:hint="eastAsia"/>
          <w:sz w:val="28"/>
          <w:szCs w:val="28"/>
        </w:rPr>
        <w:t>与</w:t>
      </w:r>
      <w:r>
        <w:rPr>
          <w:rFonts w:hint="eastAsia"/>
          <w:sz w:val="28"/>
          <w:szCs w:val="28"/>
        </w:rPr>
        <w:t>融入路径研究</w:t>
      </w:r>
    </w:p>
    <w:p w:rsidR="00757296" w:rsidRDefault="00757296" w:rsidP="00FE6485">
      <w:pPr>
        <w:spacing w:line="600" w:lineRule="exact"/>
        <w:ind w:firstLine="560"/>
        <w:rPr>
          <w:sz w:val="28"/>
          <w:szCs w:val="28"/>
        </w:rPr>
      </w:pPr>
      <w:r>
        <w:rPr>
          <w:rFonts w:hint="eastAsia"/>
          <w:sz w:val="28"/>
          <w:szCs w:val="28"/>
        </w:rPr>
        <w:t>要点：分析浙江与巴基斯坦合作的现实基础，剖析宁波参与中巴经济走廊的发展定位，研究宁波融入中巴经济走廊的潜力，提出宁波融入中巴经济走廊的路径与对策等。</w:t>
      </w:r>
    </w:p>
    <w:p w:rsidR="00757296" w:rsidRDefault="00757296" w:rsidP="00FE6485">
      <w:pPr>
        <w:spacing w:line="600" w:lineRule="exact"/>
        <w:ind w:firstLine="560"/>
        <w:rPr>
          <w:sz w:val="28"/>
          <w:szCs w:val="28"/>
        </w:rPr>
      </w:pPr>
      <w:r>
        <w:rPr>
          <w:rFonts w:hint="eastAsia"/>
          <w:sz w:val="28"/>
          <w:szCs w:val="28"/>
        </w:rPr>
        <w:t>1</w:t>
      </w:r>
      <w:r w:rsidR="00805C9B">
        <w:rPr>
          <w:rFonts w:hint="eastAsia"/>
          <w:sz w:val="28"/>
          <w:szCs w:val="28"/>
        </w:rPr>
        <w:t>7</w:t>
      </w:r>
      <w:r>
        <w:rPr>
          <w:rFonts w:hint="eastAsia"/>
          <w:sz w:val="28"/>
          <w:szCs w:val="28"/>
        </w:rPr>
        <w:t>.“一带一路”背景下宁波节点城市形象策略研究</w:t>
      </w:r>
    </w:p>
    <w:p w:rsidR="00757296" w:rsidRDefault="00757296" w:rsidP="00FE6485">
      <w:pPr>
        <w:spacing w:line="600" w:lineRule="exact"/>
        <w:ind w:firstLine="560"/>
        <w:rPr>
          <w:sz w:val="28"/>
          <w:szCs w:val="28"/>
        </w:rPr>
      </w:pPr>
      <w:r>
        <w:rPr>
          <w:rFonts w:hint="eastAsia"/>
          <w:sz w:val="28"/>
          <w:szCs w:val="28"/>
        </w:rPr>
        <w:t>要点：总结典型节点城市形象建设的现状与经验，</w:t>
      </w:r>
      <w:r w:rsidR="00840048">
        <w:rPr>
          <w:rFonts w:hint="eastAsia"/>
          <w:sz w:val="28"/>
          <w:szCs w:val="28"/>
        </w:rPr>
        <w:t>分析宁波节点城市形象建设现状，提出宁波节点城市形象的提升策略等。</w:t>
      </w:r>
    </w:p>
    <w:p w:rsidR="009063EA" w:rsidRDefault="00840048" w:rsidP="00FE6485">
      <w:pPr>
        <w:spacing w:line="600" w:lineRule="exact"/>
        <w:ind w:firstLine="560"/>
        <w:rPr>
          <w:sz w:val="28"/>
          <w:szCs w:val="28"/>
        </w:rPr>
      </w:pPr>
      <w:r>
        <w:rPr>
          <w:rFonts w:hint="eastAsia"/>
          <w:sz w:val="28"/>
          <w:szCs w:val="28"/>
        </w:rPr>
        <w:t>1</w:t>
      </w:r>
      <w:r w:rsidR="00805C9B">
        <w:rPr>
          <w:rFonts w:hint="eastAsia"/>
          <w:sz w:val="28"/>
          <w:szCs w:val="28"/>
        </w:rPr>
        <w:t>8</w:t>
      </w:r>
      <w:r w:rsidR="00046954" w:rsidRPr="00AA4397">
        <w:rPr>
          <w:rFonts w:hint="eastAsia"/>
          <w:sz w:val="28"/>
          <w:szCs w:val="28"/>
        </w:rPr>
        <w:t>.</w:t>
      </w:r>
      <w:r w:rsidR="009063EA">
        <w:rPr>
          <w:rFonts w:hint="eastAsia"/>
          <w:sz w:val="28"/>
          <w:szCs w:val="28"/>
        </w:rPr>
        <w:t>中东欧宗教冲突风险对与宁波经贸合作的影响及对策</w:t>
      </w:r>
    </w:p>
    <w:p w:rsidR="009063EA" w:rsidRDefault="009063EA" w:rsidP="00FE6485">
      <w:pPr>
        <w:spacing w:line="600" w:lineRule="exact"/>
        <w:ind w:firstLine="560"/>
        <w:rPr>
          <w:rFonts w:hint="eastAsia"/>
          <w:sz w:val="28"/>
          <w:szCs w:val="28"/>
        </w:rPr>
      </w:pPr>
      <w:r>
        <w:rPr>
          <w:rFonts w:hint="eastAsia"/>
          <w:sz w:val="28"/>
          <w:szCs w:val="28"/>
        </w:rPr>
        <w:t>要点：分析投资中东欧国家的风险，研究中东欧国家的宗教冲突风险，提出应宁波企业走出去如何应对中东欧宗教冲突风险等。</w:t>
      </w:r>
    </w:p>
    <w:p w:rsidR="00B009B1" w:rsidRPr="00B009B1" w:rsidRDefault="00B009B1" w:rsidP="00FE6485">
      <w:pPr>
        <w:spacing w:line="600" w:lineRule="exact"/>
        <w:ind w:firstLine="560"/>
        <w:rPr>
          <w:sz w:val="28"/>
          <w:szCs w:val="28"/>
        </w:rPr>
      </w:pPr>
      <w:r>
        <w:rPr>
          <w:rFonts w:hint="eastAsia"/>
          <w:sz w:val="28"/>
          <w:szCs w:val="28"/>
        </w:rPr>
        <w:t>19.</w:t>
      </w:r>
      <w:r w:rsidRPr="00B009B1">
        <w:rPr>
          <w:rFonts w:hint="eastAsia"/>
          <w:sz w:val="28"/>
          <w:szCs w:val="28"/>
        </w:rPr>
        <w:t>宁波参与冰上丝绸之路建设的对策研究</w:t>
      </w:r>
    </w:p>
    <w:p w:rsidR="00B009B1" w:rsidRPr="009063EA" w:rsidRDefault="00B009B1" w:rsidP="00FE6485">
      <w:pPr>
        <w:spacing w:line="600" w:lineRule="exact"/>
        <w:ind w:firstLine="560"/>
        <w:rPr>
          <w:sz w:val="28"/>
          <w:szCs w:val="28"/>
        </w:rPr>
      </w:pPr>
      <w:r w:rsidRPr="00B009B1">
        <w:rPr>
          <w:rFonts w:hint="eastAsia"/>
          <w:sz w:val="28"/>
          <w:szCs w:val="28"/>
        </w:rPr>
        <w:t>要点：阐述宁波参与冰上丝绸之路建设的必要性、可行性和面临的主要问题，提出宁波参与冰上丝绸之路建设的对策建议。</w:t>
      </w:r>
    </w:p>
    <w:p w:rsidR="00FE6485" w:rsidRDefault="00B009B1" w:rsidP="00FE6485">
      <w:pPr>
        <w:spacing w:line="600" w:lineRule="exact"/>
        <w:ind w:firstLine="560"/>
        <w:rPr>
          <w:rFonts w:hint="eastAsia"/>
          <w:sz w:val="28"/>
          <w:szCs w:val="28"/>
        </w:rPr>
      </w:pPr>
      <w:r>
        <w:rPr>
          <w:rFonts w:hint="eastAsia"/>
          <w:sz w:val="28"/>
          <w:szCs w:val="28"/>
        </w:rPr>
        <w:t>20</w:t>
      </w:r>
      <w:r w:rsidR="009063EA">
        <w:rPr>
          <w:rFonts w:hint="eastAsia"/>
          <w:sz w:val="28"/>
          <w:szCs w:val="28"/>
        </w:rPr>
        <w:t>.</w:t>
      </w:r>
      <w:r w:rsidR="00FE6485" w:rsidRPr="00FE6485">
        <w:rPr>
          <w:rFonts w:hint="eastAsia"/>
          <w:sz w:val="28"/>
          <w:szCs w:val="28"/>
        </w:rPr>
        <w:t>宁波、浙江、上海海关管理协同对策研究</w:t>
      </w:r>
    </w:p>
    <w:p w:rsidR="00FE6485" w:rsidRDefault="00FE6485" w:rsidP="00FE6485">
      <w:pPr>
        <w:spacing w:line="600" w:lineRule="exact"/>
        <w:ind w:firstLine="560"/>
        <w:rPr>
          <w:rFonts w:hint="eastAsia"/>
          <w:sz w:val="28"/>
          <w:szCs w:val="28"/>
        </w:rPr>
      </w:pPr>
      <w:r w:rsidRPr="00FE6485">
        <w:rPr>
          <w:rFonts w:hint="eastAsia"/>
          <w:sz w:val="28"/>
          <w:szCs w:val="28"/>
        </w:rPr>
        <w:t>要点：分析宁波、浙江、上海海关管理协同存在的问题、各自的定位、国内外可供借鉴的经验，构建协同管理模式，提出协同管理的对策建议</w:t>
      </w:r>
    </w:p>
    <w:p w:rsidR="00046954" w:rsidRPr="00AA4397" w:rsidRDefault="00FE6485" w:rsidP="00FE6485">
      <w:pPr>
        <w:spacing w:line="600" w:lineRule="exact"/>
        <w:ind w:firstLine="560"/>
        <w:rPr>
          <w:sz w:val="28"/>
          <w:szCs w:val="28"/>
        </w:rPr>
      </w:pPr>
      <w:r>
        <w:rPr>
          <w:rFonts w:hint="eastAsia"/>
          <w:sz w:val="28"/>
          <w:szCs w:val="28"/>
        </w:rPr>
        <w:t>21.</w:t>
      </w:r>
      <w:r w:rsidR="00046954" w:rsidRPr="00AA4397">
        <w:rPr>
          <w:rFonts w:hint="eastAsia"/>
          <w:sz w:val="28"/>
          <w:szCs w:val="28"/>
        </w:rPr>
        <w:t>自选课题</w:t>
      </w:r>
    </w:p>
    <w:p w:rsidR="00046954" w:rsidRPr="00AA4397" w:rsidRDefault="00046954" w:rsidP="00FE6485">
      <w:pPr>
        <w:spacing w:line="600" w:lineRule="exact"/>
        <w:ind w:firstLine="560"/>
        <w:rPr>
          <w:sz w:val="28"/>
          <w:szCs w:val="28"/>
        </w:rPr>
      </w:pPr>
      <w:r w:rsidRPr="00AA4397">
        <w:rPr>
          <w:rFonts w:hint="eastAsia"/>
          <w:sz w:val="28"/>
          <w:szCs w:val="28"/>
        </w:rPr>
        <w:t>要点：根据</w:t>
      </w:r>
      <w:r w:rsidR="00696F48">
        <w:rPr>
          <w:rFonts w:hint="eastAsia"/>
          <w:sz w:val="28"/>
          <w:szCs w:val="28"/>
        </w:rPr>
        <w:t>宁波参与</w:t>
      </w:r>
      <w:r w:rsidR="000759EF">
        <w:rPr>
          <w:rFonts w:hint="eastAsia"/>
          <w:sz w:val="28"/>
          <w:szCs w:val="28"/>
        </w:rPr>
        <w:t>“一带一路”建设的</w:t>
      </w:r>
      <w:r>
        <w:rPr>
          <w:rFonts w:hint="eastAsia"/>
          <w:sz w:val="28"/>
          <w:szCs w:val="28"/>
        </w:rPr>
        <w:t>需要</w:t>
      </w:r>
      <w:r w:rsidRPr="00AA4397">
        <w:rPr>
          <w:rFonts w:hint="eastAsia"/>
          <w:sz w:val="28"/>
          <w:szCs w:val="28"/>
        </w:rPr>
        <w:t>，结合专业优势，</w:t>
      </w:r>
      <w:r w:rsidR="004B55DF">
        <w:rPr>
          <w:rFonts w:hint="eastAsia"/>
          <w:sz w:val="28"/>
          <w:szCs w:val="28"/>
        </w:rPr>
        <w:t>申报人</w:t>
      </w:r>
      <w:r w:rsidRPr="00AA4397">
        <w:rPr>
          <w:rFonts w:hint="eastAsia"/>
          <w:sz w:val="28"/>
          <w:szCs w:val="28"/>
        </w:rPr>
        <w:t>自主选题申报。</w:t>
      </w:r>
    </w:p>
    <w:p w:rsidR="001754F5" w:rsidRPr="00046954" w:rsidRDefault="001754F5" w:rsidP="00FE6485">
      <w:pPr>
        <w:spacing w:line="600" w:lineRule="exact"/>
        <w:ind w:firstLineChars="0" w:firstLine="0"/>
        <w:rPr>
          <w:sz w:val="32"/>
        </w:rPr>
      </w:pPr>
    </w:p>
    <w:sectPr w:rsidR="001754F5" w:rsidRPr="00046954" w:rsidSect="001815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B92" w:rsidRDefault="00304B92" w:rsidP="006B1894">
      <w:pPr>
        <w:spacing w:line="240" w:lineRule="auto"/>
        <w:ind w:firstLine="480"/>
      </w:pPr>
      <w:r>
        <w:separator/>
      </w:r>
    </w:p>
  </w:endnote>
  <w:endnote w:type="continuationSeparator" w:id="0">
    <w:p w:rsidR="00304B92" w:rsidRDefault="00304B92" w:rsidP="006B189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B92" w:rsidRDefault="00304B92" w:rsidP="006B1894">
      <w:pPr>
        <w:spacing w:line="240" w:lineRule="auto"/>
        <w:ind w:firstLine="480"/>
      </w:pPr>
      <w:r>
        <w:separator/>
      </w:r>
    </w:p>
  </w:footnote>
  <w:footnote w:type="continuationSeparator" w:id="0">
    <w:p w:rsidR="00304B92" w:rsidRDefault="00304B92" w:rsidP="006B189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Pr="00830185" w:rsidRDefault="006B1894" w:rsidP="00830185">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94" w:rsidRDefault="006B1894" w:rsidP="006B1894">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33274"/>
    <w:multiLevelType w:val="multilevel"/>
    <w:tmpl w:val="BAC82D1A"/>
    <w:lvl w:ilvl="0">
      <w:start w:val="4"/>
      <w:numFmt w:val="chineseCountingThousand"/>
      <w:pStyle w:val="1"/>
      <w:lvlText w:val="第%1章"/>
      <w:lvlJc w:val="left"/>
      <w:pPr>
        <w:ind w:left="0" w:firstLine="0"/>
      </w:pPr>
      <w:rPr>
        <w:rFonts w:hint="eastAsia"/>
      </w:rPr>
    </w:lvl>
    <w:lvl w:ilvl="1">
      <w:start w:val="1"/>
      <w:numFmt w:val="chineseCountingThousand"/>
      <w:lvlText w:val="第%2节"/>
      <w:lvlJc w:val="left"/>
      <w:pPr>
        <w:ind w:left="-425" w:firstLine="0"/>
      </w:pPr>
      <w:rPr>
        <w:rFonts w:hint="eastAsia"/>
      </w:rPr>
    </w:lvl>
    <w:lvl w:ilvl="2">
      <w:start w:val="1"/>
      <w:numFmt w:val="chineseCountingThousand"/>
      <w:lvlText w:val="%3."/>
      <w:lvlJc w:val="left"/>
      <w:pPr>
        <w:ind w:left="-1418"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lvlText w:val="(%4)"/>
      <w:lvlJc w:val="right"/>
      <w:pPr>
        <w:ind w:left="-1418" w:firstLine="0"/>
      </w:pPr>
      <w:rPr>
        <w:rFonts w:hint="eastAsia"/>
      </w:rPr>
    </w:lvl>
    <w:lvl w:ilvl="4">
      <w:start w:val="1"/>
      <w:numFmt w:val="decimal"/>
      <w:lvlText w:val="%5)"/>
      <w:lvlJc w:val="left"/>
      <w:pPr>
        <w:ind w:left="-1418" w:firstLine="0"/>
      </w:pPr>
      <w:rPr>
        <w:rFonts w:hint="eastAsia"/>
      </w:rPr>
    </w:lvl>
    <w:lvl w:ilvl="5">
      <w:start w:val="1"/>
      <w:numFmt w:val="lowerLetter"/>
      <w:lvlText w:val="%6)"/>
      <w:lvlJc w:val="left"/>
      <w:pPr>
        <w:ind w:left="-1418" w:firstLine="0"/>
      </w:pPr>
      <w:rPr>
        <w:rFonts w:hint="eastAsia"/>
      </w:rPr>
    </w:lvl>
    <w:lvl w:ilvl="6">
      <w:start w:val="1"/>
      <w:numFmt w:val="lowerRoman"/>
      <w:lvlText w:val="%7)"/>
      <w:lvlJc w:val="right"/>
      <w:pPr>
        <w:ind w:left="-1418" w:firstLine="0"/>
      </w:pPr>
      <w:rPr>
        <w:rFonts w:hint="eastAsia"/>
      </w:rPr>
    </w:lvl>
    <w:lvl w:ilvl="7">
      <w:start w:val="1"/>
      <w:numFmt w:val="lowerLetter"/>
      <w:lvlText w:val="%8."/>
      <w:lvlJc w:val="left"/>
      <w:pPr>
        <w:ind w:left="-1418" w:firstLine="0"/>
      </w:pPr>
      <w:rPr>
        <w:rFonts w:hint="eastAsia"/>
      </w:rPr>
    </w:lvl>
    <w:lvl w:ilvl="8">
      <w:start w:val="1"/>
      <w:numFmt w:val="lowerRoman"/>
      <w:lvlText w:val="%9."/>
      <w:lvlJc w:val="right"/>
      <w:pPr>
        <w:ind w:left="-1418" w:firstLine="0"/>
      </w:pPr>
      <w:rPr>
        <w:rFonts w:hint="eastAsia"/>
      </w:rPr>
    </w:lvl>
  </w:abstractNum>
  <w:abstractNum w:abstractNumId="1">
    <w:nsid w:val="3A5469E5"/>
    <w:multiLevelType w:val="multilevel"/>
    <w:tmpl w:val="FDE25AEE"/>
    <w:lvl w:ilvl="0">
      <w:start w:val="1"/>
      <w:numFmt w:val="chineseCountingThousand"/>
      <w:lvlText w:val="第%1章"/>
      <w:lvlJc w:val="left"/>
      <w:pPr>
        <w:ind w:left="0" w:firstLine="0"/>
      </w:pPr>
      <w:rPr>
        <w:rFonts w:hint="eastAsia"/>
      </w:rPr>
    </w:lvl>
    <w:lvl w:ilvl="1">
      <w:start w:val="1"/>
      <w:numFmt w:val="chineseCountingThousand"/>
      <w:lvlText w:val="第%2节"/>
      <w:lvlJc w:val="left"/>
      <w:pPr>
        <w:ind w:left="993" w:firstLine="0"/>
      </w:pPr>
      <w:rPr>
        <w:rFonts w:hint="eastAsia"/>
      </w:rPr>
    </w:lvl>
    <w:lvl w:ilvl="2">
      <w:start w:val="2"/>
      <w:numFmt w:val="chineseCountingThousand"/>
      <w:pStyle w:val="3"/>
      <w:lvlText w:val="%3."/>
      <w:lvlJc w:val="left"/>
      <w:pPr>
        <w:ind w:left="426" w:firstLine="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lvlText w:val="(%4)"/>
      <w:lvlJc w:val="right"/>
      <w:pPr>
        <w:ind w:left="0" w:firstLine="0"/>
      </w:pPr>
      <w:rPr>
        <w:rFonts w:hint="eastAsia"/>
      </w:rPr>
    </w:lvl>
    <w:lvl w:ilvl="4">
      <w:start w:val="1"/>
      <w:numFmt w:val="decimal"/>
      <w:lvlText w:val="%5)"/>
      <w:lvlJc w:val="left"/>
      <w:pPr>
        <w:ind w:left="0" w:firstLine="0"/>
      </w:pPr>
      <w:rPr>
        <w:rFonts w:hint="eastAsia"/>
      </w:rPr>
    </w:lvl>
    <w:lvl w:ilvl="5">
      <w:start w:val="1"/>
      <w:numFmt w:val="lowerLetter"/>
      <w:lvlText w:val="%6)"/>
      <w:lvlJc w:val="left"/>
      <w:pPr>
        <w:ind w:left="0" w:firstLine="0"/>
      </w:pPr>
      <w:rPr>
        <w:rFonts w:hint="eastAsia"/>
      </w:rPr>
    </w:lvl>
    <w:lvl w:ilvl="6">
      <w:start w:val="1"/>
      <w:numFmt w:val="lowerRoman"/>
      <w:lvlText w:val="%7)"/>
      <w:lvlJc w:val="righ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
    <w:nsid w:val="47AA7DE8"/>
    <w:multiLevelType w:val="multilevel"/>
    <w:tmpl w:val="483803D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chineseCountingThousand"/>
      <w:pStyle w:val="4"/>
      <w:lvlText w:val="(%4)"/>
      <w:lvlJc w:val="left"/>
      <w:pPr>
        <w:ind w:left="142"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2"/>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B28"/>
    <w:rsid w:val="00017599"/>
    <w:rsid w:val="00046954"/>
    <w:rsid w:val="00071158"/>
    <w:rsid w:val="000759EF"/>
    <w:rsid w:val="000931D4"/>
    <w:rsid w:val="000E787A"/>
    <w:rsid w:val="000F14B8"/>
    <w:rsid w:val="00103361"/>
    <w:rsid w:val="001102EA"/>
    <w:rsid w:val="001141F0"/>
    <w:rsid w:val="00143331"/>
    <w:rsid w:val="00156999"/>
    <w:rsid w:val="00165961"/>
    <w:rsid w:val="001754F5"/>
    <w:rsid w:val="0018157D"/>
    <w:rsid w:val="001B0558"/>
    <w:rsid w:val="001D1136"/>
    <w:rsid w:val="001D3296"/>
    <w:rsid w:val="001E675C"/>
    <w:rsid w:val="00217C65"/>
    <w:rsid w:val="002260C9"/>
    <w:rsid w:val="00242E98"/>
    <w:rsid w:val="00247BBA"/>
    <w:rsid w:val="00255530"/>
    <w:rsid w:val="0026022E"/>
    <w:rsid w:val="00262A24"/>
    <w:rsid w:val="002B3476"/>
    <w:rsid w:val="002C0C6E"/>
    <w:rsid w:val="002D7ED0"/>
    <w:rsid w:val="002F0164"/>
    <w:rsid w:val="002F7424"/>
    <w:rsid w:val="00304B92"/>
    <w:rsid w:val="003527DC"/>
    <w:rsid w:val="00371074"/>
    <w:rsid w:val="00440660"/>
    <w:rsid w:val="00461863"/>
    <w:rsid w:val="004B55DF"/>
    <w:rsid w:val="004D207D"/>
    <w:rsid w:val="004D6FEF"/>
    <w:rsid w:val="004E4C54"/>
    <w:rsid w:val="0052775A"/>
    <w:rsid w:val="00550F09"/>
    <w:rsid w:val="00551057"/>
    <w:rsid w:val="005775AB"/>
    <w:rsid w:val="00622738"/>
    <w:rsid w:val="00664711"/>
    <w:rsid w:val="00696F48"/>
    <w:rsid w:val="006A1FC1"/>
    <w:rsid w:val="006B1894"/>
    <w:rsid w:val="006D2B02"/>
    <w:rsid w:val="006D4973"/>
    <w:rsid w:val="006F0B28"/>
    <w:rsid w:val="00702B8B"/>
    <w:rsid w:val="0070340B"/>
    <w:rsid w:val="00712062"/>
    <w:rsid w:val="00716CB7"/>
    <w:rsid w:val="00731E23"/>
    <w:rsid w:val="00747955"/>
    <w:rsid w:val="00751817"/>
    <w:rsid w:val="00757296"/>
    <w:rsid w:val="007C6254"/>
    <w:rsid w:val="007F59D8"/>
    <w:rsid w:val="00805C9B"/>
    <w:rsid w:val="00812D87"/>
    <w:rsid w:val="00830185"/>
    <w:rsid w:val="00840048"/>
    <w:rsid w:val="00867A8B"/>
    <w:rsid w:val="00887B59"/>
    <w:rsid w:val="008A6963"/>
    <w:rsid w:val="008C3398"/>
    <w:rsid w:val="008C752A"/>
    <w:rsid w:val="009063EA"/>
    <w:rsid w:val="009067D7"/>
    <w:rsid w:val="009604F8"/>
    <w:rsid w:val="00980527"/>
    <w:rsid w:val="00982EA6"/>
    <w:rsid w:val="009A058F"/>
    <w:rsid w:val="009A4501"/>
    <w:rsid w:val="009A56C4"/>
    <w:rsid w:val="009B5637"/>
    <w:rsid w:val="009B7AF9"/>
    <w:rsid w:val="009D4CCD"/>
    <w:rsid w:val="00A82573"/>
    <w:rsid w:val="00AC07B0"/>
    <w:rsid w:val="00B009B1"/>
    <w:rsid w:val="00B15499"/>
    <w:rsid w:val="00B24519"/>
    <w:rsid w:val="00B25131"/>
    <w:rsid w:val="00B26D59"/>
    <w:rsid w:val="00B41695"/>
    <w:rsid w:val="00B45E64"/>
    <w:rsid w:val="00BA37C4"/>
    <w:rsid w:val="00BC2288"/>
    <w:rsid w:val="00BE3F52"/>
    <w:rsid w:val="00BF6AE6"/>
    <w:rsid w:val="00C0296B"/>
    <w:rsid w:val="00C5036B"/>
    <w:rsid w:val="00C7230B"/>
    <w:rsid w:val="00CB65FF"/>
    <w:rsid w:val="00CD3606"/>
    <w:rsid w:val="00CD7092"/>
    <w:rsid w:val="00CE2A57"/>
    <w:rsid w:val="00CF669D"/>
    <w:rsid w:val="00D243D1"/>
    <w:rsid w:val="00D340C7"/>
    <w:rsid w:val="00D5370D"/>
    <w:rsid w:val="00D62B87"/>
    <w:rsid w:val="00D80AFA"/>
    <w:rsid w:val="00DA61F8"/>
    <w:rsid w:val="00DD7AB1"/>
    <w:rsid w:val="00DE55C6"/>
    <w:rsid w:val="00DF20E1"/>
    <w:rsid w:val="00E20862"/>
    <w:rsid w:val="00E27260"/>
    <w:rsid w:val="00E431AE"/>
    <w:rsid w:val="00E50CFD"/>
    <w:rsid w:val="00E77BB7"/>
    <w:rsid w:val="00E808EA"/>
    <w:rsid w:val="00E818DD"/>
    <w:rsid w:val="00E843C9"/>
    <w:rsid w:val="00EC3566"/>
    <w:rsid w:val="00EE1A16"/>
    <w:rsid w:val="00EE1E29"/>
    <w:rsid w:val="00F04327"/>
    <w:rsid w:val="00F27088"/>
    <w:rsid w:val="00F36A77"/>
    <w:rsid w:val="00F42433"/>
    <w:rsid w:val="00F7787E"/>
    <w:rsid w:val="00F81F0D"/>
    <w:rsid w:val="00FA735B"/>
    <w:rsid w:val="00FA75E1"/>
    <w:rsid w:val="00FE6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a">
    <w:name w:val="Normal"/>
    <w:qFormat/>
    <w:rsid w:val="00716CB7"/>
    <w:pPr>
      <w:spacing w:line="360" w:lineRule="auto"/>
      <w:ind w:firstLineChars="200" w:firstLine="200"/>
    </w:pPr>
    <w:rPr>
      <w:rFonts w:ascii="宋体" w:hAnsi="宋体" w:cs="宋体"/>
      <w:sz w:val="24"/>
      <w:szCs w:val="24"/>
    </w:rPr>
  </w:style>
  <w:style w:type="paragraph" w:styleId="1">
    <w:name w:val="heading 1"/>
    <w:basedOn w:val="a"/>
    <w:next w:val="a"/>
    <w:link w:val="1Char"/>
    <w:uiPriority w:val="9"/>
    <w:qFormat/>
    <w:rsid w:val="00716CB7"/>
    <w:pPr>
      <w:keepNext/>
      <w:keepLines/>
      <w:numPr>
        <w:numId w:val="4"/>
      </w:numPr>
      <w:spacing w:before="340" w:after="330" w:line="578" w:lineRule="auto"/>
      <w:ind w:firstLineChars="0"/>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rsid w:val="00716CB7"/>
    <w:pPr>
      <w:keepNext/>
      <w:keepLines/>
      <w:spacing w:before="260" w:after="260" w:line="416" w:lineRule="auto"/>
      <w:ind w:firstLineChars="0" w:firstLine="0"/>
      <w:outlineLvl w:val="1"/>
    </w:pPr>
    <w:rPr>
      <w:rFonts w:ascii="Cambria" w:hAnsi="Cambria" w:cs="Times New Roman"/>
      <w:b/>
      <w:bCs/>
      <w:sz w:val="32"/>
      <w:szCs w:val="32"/>
    </w:rPr>
  </w:style>
  <w:style w:type="paragraph" w:styleId="3">
    <w:name w:val="heading 3"/>
    <w:basedOn w:val="a"/>
    <w:next w:val="a"/>
    <w:link w:val="3Char"/>
    <w:uiPriority w:val="9"/>
    <w:qFormat/>
    <w:rsid w:val="00716CB7"/>
    <w:pPr>
      <w:keepNext/>
      <w:keepLines/>
      <w:numPr>
        <w:ilvl w:val="2"/>
        <w:numId w:val="5"/>
      </w:numPr>
      <w:spacing w:before="260" w:after="260" w:line="416" w:lineRule="auto"/>
      <w:ind w:firstLineChars="0"/>
      <w:outlineLvl w:val="2"/>
    </w:pPr>
    <w:rPr>
      <w:rFonts w:ascii="Times New Roman" w:hAnsi="Times New Roman" w:cs="Times New Roman"/>
      <w:b/>
      <w:bCs/>
      <w:sz w:val="32"/>
      <w:szCs w:val="32"/>
    </w:rPr>
  </w:style>
  <w:style w:type="paragraph" w:styleId="4">
    <w:name w:val="heading 4"/>
    <w:basedOn w:val="a"/>
    <w:next w:val="a"/>
    <w:link w:val="4Char"/>
    <w:qFormat/>
    <w:rsid w:val="00716CB7"/>
    <w:pPr>
      <w:keepNext/>
      <w:keepLines/>
      <w:numPr>
        <w:ilvl w:val="3"/>
        <w:numId w:val="6"/>
      </w:numPr>
      <w:spacing w:before="280" w:after="290" w:line="376" w:lineRule="auto"/>
      <w:ind w:firstLineChars="0"/>
      <w:outlineLvl w:val="3"/>
    </w:pPr>
    <w:rPr>
      <w:rFonts w:ascii="Cambria" w:hAnsi="Cambria" w:cs="Times New Roman"/>
      <w:b/>
      <w:bCs/>
      <w:sz w:val="28"/>
      <w:szCs w:val="28"/>
    </w:rPr>
  </w:style>
  <w:style w:type="paragraph" w:styleId="5">
    <w:name w:val="heading 5"/>
    <w:basedOn w:val="a"/>
    <w:next w:val="a"/>
    <w:link w:val="5Char"/>
    <w:qFormat/>
    <w:rsid w:val="00716CB7"/>
    <w:pPr>
      <w:keepNext/>
      <w:keepLines/>
      <w:spacing w:before="280" w:after="290" w:line="376" w:lineRule="auto"/>
      <w:ind w:firstLineChars="0" w:firstLine="0"/>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16CB7"/>
    <w:rPr>
      <w:rFonts w:ascii="Times New Roman" w:hAnsi="Times New Roman"/>
      <w:b/>
      <w:bCs/>
      <w:kern w:val="44"/>
      <w:sz w:val="44"/>
      <w:szCs w:val="44"/>
    </w:rPr>
  </w:style>
  <w:style w:type="character" w:customStyle="1" w:styleId="2Char">
    <w:name w:val="标题 2 Char"/>
    <w:link w:val="2"/>
    <w:uiPriority w:val="9"/>
    <w:rsid w:val="00716CB7"/>
    <w:rPr>
      <w:rFonts w:ascii="Cambria" w:hAnsi="Cambria"/>
      <w:b/>
      <w:bCs/>
      <w:sz w:val="32"/>
      <w:szCs w:val="32"/>
    </w:rPr>
  </w:style>
  <w:style w:type="character" w:customStyle="1" w:styleId="3Char">
    <w:name w:val="标题 3 Char"/>
    <w:link w:val="3"/>
    <w:uiPriority w:val="9"/>
    <w:rsid w:val="00716CB7"/>
    <w:rPr>
      <w:rFonts w:ascii="Times New Roman" w:hAnsi="Times New Roman"/>
      <w:b/>
      <w:bCs/>
      <w:sz w:val="32"/>
      <w:szCs w:val="32"/>
    </w:rPr>
  </w:style>
  <w:style w:type="character" w:customStyle="1" w:styleId="4Char">
    <w:name w:val="标题 4 Char"/>
    <w:link w:val="4"/>
    <w:rsid w:val="00716CB7"/>
    <w:rPr>
      <w:rFonts w:ascii="Cambria" w:hAnsi="Cambria"/>
      <w:b/>
      <w:bCs/>
      <w:sz w:val="28"/>
      <w:szCs w:val="28"/>
    </w:rPr>
  </w:style>
  <w:style w:type="character" w:customStyle="1" w:styleId="5Char">
    <w:name w:val="标题 5 Char"/>
    <w:link w:val="5"/>
    <w:rsid w:val="00716CB7"/>
    <w:rPr>
      <w:rFonts w:ascii="宋体" w:hAnsi="宋体" w:cs="宋体"/>
      <w:bCs/>
      <w:sz w:val="24"/>
      <w:szCs w:val="28"/>
    </w:rPr>
  </w:style>
  <w:style w:type="paragraph" w:styleId="a3">
    <w:name w:val="caption"/>
    <w:basedOn w:val="a"/>
    <w:next w:val="a"/>
    <w:qFormat/>
    <w:rsid w:val="00716CB7"/>
    <w:pPr>
      <w:spacing w:line="240" w:lineRule="auto"/>
    </w:pPr>
    <w:rPr>
      <w:rFonts w:ascii="Arial" w:eastAsia="黑体" w:hAnsi="Arial" w:cs="Arial"/>
      <w:sz w:val="20"/>
      <w:szCs w:val="20"/>
    </w:rPr>
  </w:style>
  <w:style w:type="character" w:styleId="a4">
    <w:name w:val="Strong"/>
    <w:uiPriority w:val="22"/>
    <w:qFormat/>
    <w:rsid w:val="00716CB7"/>
    <w:rPr>
      <w:b/>
      <w:bCs/>
    </w:rPr>
  </w:style>
  <w:style w:type="paragraph" w:customStyle="1" w:styleId="Normal0">
    <w:name w:val="Normal_0"/>
    <w:qFormat/>
    <w:rsid w:val="00716CB7"/>
    <w:pPr>
      <w:spacing w:before="120" w:after="240"/>
      <w:jc w:val="both"/>
    </w:pPr>
    <w:rPr>
      <w:rFonts w:eastAsia="Calibri"/>
      <w:sz w:val="22"/>
      <w:szCs w:val="22"/>
      <w:lang w:val="ru-RU" w:eastAsia="en-US"/>
    </w:rPr>
  </w:style>
  <w:style w:type="paragraph" w:styleId="TOC">
    <w:name w:val="TOC Heading"/>
    <w:basedOn w:val="1"/>
    <w:next w:val="a"/>
    <w:uiPriority w:val="39"/>
    <w:semiHidden/>
    <w:unhideWhenUsed/>
    <w:qFormat/>
    <w:rsid w:val="00716CB7"/>
    <w:pPr>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5">
    <w:name w:val="header"/>
    <w:basedOn w:val="a"/>
    <w:link w:val="Char"/>
    <w:uiPriority w:val="99"/>
    <w:semiHidden/>
    <w:unhideWhenUsed/>
    <w:rsid w:val="006B189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6B1894"/>
    <w:rPr>
      <w:rFonts w:ascii="宋体" w:hAnsi="宋体" w:cs="宋体"/>
      <w:sz w:val="18"/>
      <w:szCs w:val="18"/>
    </w:rPr>
  </w:style>
  <w:style w:type="paragraph" w:styleId="a6">
    <w:name w:val="footer"/>
    <w:basedOn w:val="a"/>
    <w:link w:val="Char0"/>
    <w:uiPriority w:val="99"/>
    <w:semiHidden/>
    <w:unhideWhenUsed/>
    <w:rsid w:val="006B1894"/>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6B1894"/>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316</Words>
  <Characters>1807</Characters>
  <Application>Microsoft Office Word</Application>
  <DocSecurity>0</DocSecurity>
  <Lines>15</Lines>
  <Paragraphs>4</Paragraphs>
  <ScaleCrop>false</ScaleCrop>
  <Company>微软中国</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37</cp:revision>
  <cp:lastPrinted>2018-12-23T13:41:00Z</cp:lastPrinted>
  <dcterms:created xsi:type="dcterms:W3CDTF">2017-09-23T01:20:00Z</dcterms:created>
  <dcterms:modified xsi:type="dcterms:W3CDTF">2018-12-29T00:59:00Z</dcterms:modified>
</cp:coreProperties>
</file>